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4FDA2" w14:textId="39DEA6F7" w:rsidR="00D07C27" w:rsidRPr="00D57B30" w:rsidRDefault="00D57B30" w:rsidP="008246F4">
      <w:pPr>
        <w:pStyle w:val="Ttulo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Tema 18 del orden del día</w:t>
      </w:r>
      <w:proofErr w:type="gramStart"/>
      <w:r>
        <w:rPr>
          <w:color w:val="1F4E79" w:themeColor="accent1" w:themeShade="80"/>
        </w:rPr>
        <w:t>:  Reunión</w:t>
      </w:r>
      <w:proofErr w:type="gramEnd"/>
      <w:r>
        <w:rPr>
          <w:color w:val="1F4E79" w:themeColor="accent1" w:themeShade="80"/>
        </w:rPr>
        <w:t xml:space="preserve"> con el Comité Asesor At-Large (ALAC) </w:t>
      </w:r>
    </w:p>
    <w:p w14:paraId="1202E295" w14:textId="77777777" w:rsidR="00F21D6A" w:rsidRPr="00D57B30" w:rsidRDefault="00D57B30" w:rsidP="00C917F9">
      <w:pPr>
        <w:pStyle w:val="Ttulo2"/>
      </w:pPr>
      <w:r>
        <w:t>Cuestiones</w:t>
      </w:r>
    </w:p>
    <w:p w14:paraId="306051BF" w14:textId="7B034428" w:rsidR="00C20FB7" w:rsidRPr="0043171A" w:rsidRDefault="007A2C1A" w:rsidP="00A13403">
      <w:pPr>
        <w:spacing w:after="200" w:line="276" w:lineRule="auto"/>
        <w:ind w:right="54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Los órdenes del día para las reuniones bilaterales del GAC de este tipo tienden a cambiar hasta el último minuto debido a varias razones. Sin embargo, probablemente se planteen las siguientes cuestiones:</w:t>
      </w:r>
    </w:p>
    <w:p w14:paraId="34A77A03" w14:textId="736A6F95" w:rsidR="00AD3D44" w:rsidRPr="0043171A" w:rsidRDefault="00AD3D44" w:rsidP="006E4234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Introducción al ALAC</w:t>
      </w:r>
    </w:p>
    <w:p w14:paraId="55478D8E" w14:textId="29014A2A" w:rsidR="00AD3D44" w:rsidRPr="00AD3D44" w:rsidRDefault="00AD3D44" w:rsidP="00AD3D44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Reglamento General sobre la Protección de Datos Europeo (GDPR).</w:t>
      </w:r>
    </w:p>
    <w:p w14:paraId="716E8663" w14:textId="0223DB7A" w:rsidR="006E4234" w:rsidRPr="00C20FB7" w:rsidRDefault="006E4234" w:rsidP="006E4234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Área de trabajo 5 del PDP sobre Procedimientos Posteriores a la Introducción de los Nuevos gTLD (Nombres geográficos).</w:t>
      </w:r>
    </w:p>
    <w:p w14:paraId="015C3EB9" w14:textId="7B6E7830" w:rsidR="00C20FB7" w:rsidRPr="00C20FB7" w:rsidRDefault="00C20FB7" w:rsidP="00C20FB7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Declaración conjunta del GAC y el ALAC sobre cómo propiciar la participación inclusiva, informada y significativa en la ICANN.</w:t>
      </w:r>
    </w:p>
    <w:p w14:paraId="1286DAEF" w14:textId="7859A963" w:rsidR="00C20FB7" w:rsidRDefault="006E4234" w:rsidP="00C20FB7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Respuesta al Informe Final del Área de Trabajo 2 del CCWG sobre Responsabilidad.</w:t>
      </w:r>
    </w:p>
    <w:p w14:paraId="22C43B18" w14:textId="16D18BED" w:rsidR="00AD3D44" w:rsidRPr="00C20FB7" w:rsidRDefault="003E2BD3" w:rsidP="00C20FB7">
      <w:pPr>
        <w:pStyle w:val="Prrafodelista"/>
        <w:numPr>
          <w:ilvl w:val="0"/>
          <w:numId w:val="25"/>
        </w:numPr>
        <w:spacing w:line="360" w:lineRule="auto"/>
        <w:ind w:right="544"/>
        <w:contextualSpacing/>
        <w:rPr>
          <w:szCs w:val="20"/>
        </w:rPr>
      </w:pPr>
      <w:r>
        <w:t>Revisión independiente del ALAC.</w:t>
      </w:r>
    </w:p>
    <w:p w14:paraId="10D6AD3B" w14:textId="34580247" w:rsidR="00406CEE" w:rsidRDefault="00663B24" w:rsidP="00C917F9">
      <w:pPr>
        <w:pStyle w:val="Ttulo2"/>
      </w:pPr>
      <w:r>
        <w:t>Acción del GAC requerida</w:t>
      </w:r>
    </w:p>
    <w:p w14:paraId="2F5C2F04" w14:textId="78B2B0A2" w:rsidR="00AD3D44" w:rsidRPr="00AD3D44" w:rsidRDefault="00AD3D44" w:rsidP="00AD3D44">
      <w:pPr>
        <w:pStyle w:val="Textoindependiente"/>
        <w:numPr>
          <w:ilvl w:val="0"/>
          <w:numId w:val="26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Introducción al ALAC</w:t>
      </w:r>
    </w:p>
    <w:p w14:paraId="7A2F27FD" w14:textId="50D730AE" w:rsidR="00AD3D44" w:rsidRDefault="00AD3D44" w:rsidP="00AD3D44">
      <w:pPr>
        <w:pStyle w:val="Textoindependiente"/>
      </w:pPr>
      <w:r>
        <w:t>El ALAC brindará al GAC una descripción general de su rol y sus actividades.</w:t>
      </w:r>
    </w:p>
    <w:p w14:paraId="64EE229A" w14:textId="77777777" w:rsidR="00AD3D44" w:rsidRPr="006E4234" w:rsidRDefault="00AD3D44" w:rsidP="00AD3D44">
      <w:pPr>
        <w:pStyle w:val="Textoindependiente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  <w:szCs w:val="20"/>
        </w:rPr>
        <w:t>GDPR</w:t>
      </w:r>
    </w:p>
    <w:p w14:paraId="1EB25F04" w14:textId="5D2A5EF2" w:rsidR="00AD3D44" w:rsidRDefault="00AD3D44" w:rsidP="00AD3D44">
      <w:pPr>
        <w:pStyle w:val="Textoindependiente"/>
        <w:rPr>
          <w:szCs w:val="20"/>
        </w:rPr>
      </w:pPr>
      <w:r>
        <w:t xml:space="preserve">Véase el documento informativo para el GAC en el tema 3 del orden del día. Las cuestiones </w:t>
      </w:r>
      <w:proofErr w:type="gramStart"/>
      <w:r>
        <w:t>habrán</w:t>
      </w:r>
      <w:proofErr w:type="gramEnd"/>
      <w:r>
        <w:t xml:space="preserve"> sido más desarrolladas al momento de la reunión con el ALAC.</w:t>
      </w:r>
    </w:p>
    <w:p w14:paraId="6A7350C2" w14:textId="3D89416E" w:rsidR="00AD3D44" w:rsidRDefault="00AD3D44" w:rsidP="00AD3D44">
      <w:pPr>
        <w:pStyle w:val="Textoindependiente"/>
        <w:rPr>
          <w:szCs w:val="20"/>
        </w:rPr>
      </w:pPr>
      <w:r>
        <w:t>Esto parecería principalmente una oportunidad para intercambiar puntos de vista sobre los desarrollos más recientes, en particular, la Especificación temporal de la ICANN y el PDP expeditivo propuesto.</w:t>
      </w:r>
    </w:p>
    <w:p w14:paraId="559FF8CB" w14:textId="033B66CF" w:rsidR="00AD3D44" w:rsidRPr="00AD3D44" w:rsidRDefault="00AD3D44" w:rsidP="00AD3D44">
      <w:pPr>
        <w:pStyle w:val="Textoindependiente"/>
        <w:rPr>
          <w:szCs w:val="20"/>
        </w:rPr>
      </w:pPr>
      <w:r>
        <w:t>Algunos miembros del ALAC están interesados en los puntos de vista de los miembros del GAC sobre si hay tensiones a nivel nacional entre los objetivos de política pública de privacidad y el cumplimiento de la ley.</w:t>
      </w:r>
    </w:p>
    <w:p w14:paraId="7AED3CD1" w14:textId="7FA58A90" w:rsidR="007C384A" w:rsidRPr="006E4234" w:rsidRDefault="006E4234" w:rsidP="00C20FB7">
      <w:pPr>
        <w:pStyle w:val="Textoindependiente"/>
        <w:numPr>
          <w:ilvl w:val="0"/>
          <w:numId w:val="26"/>
        </w:num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Área de Trabajo 5: Nombres geográficos</w:t>
      </w:r>
    </w:p>
    <w:p w14:paraId="542E942E" w14:textId="3FC6B1D4" w:rsidR="006E4234" w:rsidRDefault="006E4234" w:rsidP="006E4234">
      <w:pPr>
        <w:pStyle w:val="Textoindependiente"/>
      </w:pPr>
      <w:r>
        <w:t>Véase el documento informativo para el GAC en el tema 6 del orden del día. Las cuestiones habrán sido más desarrolladas al momento de la reunión con el ALAC.</w:t>
      </w:r>
    </w:p>
    <w:p w14:paraId="2BE4C63F" w14:textId="1E4ABD97" w:rsidR="0046742D" w:rsidRDefault="0046742D" w:rsidP="006E4234">
      <w:pPr>
        <w:pStyle w:val="Textoindependiente"/>
      </w:pPr>
      <w:r>
        <w:t>El GAC y el ALAC pueden desear explorar opciones para apoyo mutuo con el fin de hacer el uso más eficiente de la participación en las reuniones y los intercambios en línea del Área de Trabajo 5. Por ejemplo, el intercambio de puntos de vista entre los participantes del GAC y del ALAC antes de las reuniones y el intercambio de trabajo en el seguimiento de cuestiones particulares.</w:t>
      </w:r>
    </w:p>
    <w:p w14:paraId="0EA33C3C" w14:textId="0050CE6A" w:rsidR="006E4234" w:rsidRPr="006E4234" w:rsidRDefault="006E4234" w:rsidP="006E4234">
      <w:pPr>
        <w:pStyle w:val="Prrafodelista"/>
        <w:numPr>
          <w:ilvl w:val="0"/>
          <w:numId w:val="26"/>
        </w:numPr>
        <w:spacing w:line="360" w:lineRule="auto"/>
        <w:ind w:right="544"/>
        <w:contextualSpacing/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  <w:szCs w:val="20"/>
        </w:rPr>
        <w:t>Declaración conjunta del GAC y el ALAC.</w:t>
      </w:r>
      <w:bookmarkStart w:id="0" w:name="_GoBack"/>
      <w:bookmarkEnd w:id="0"/>
    </w:p>
    <w:p w14:paraId="35BFA3DD" w14:textId="5D264964" w:rsidR="0046742D" w:rsidRDefault="0046742D" w:rsidP="0046742D">
      <w:pPr>
        <w:pStyle w:val="Textoindependiente"/>
        <w:ind w:right="545"/>
      </w:pPr>
      <w:r>
        <w:lastRenderedPageBreak/>
        <w:t xml:space="preserve">La </w:t>
      </w:r>
      <w:hyperlink r:id="rId9" w:history="1">
        <w:r>
          <w:rPr>
            <w:rStyle w:val="Hipervnculo"/>
          </w:rPr>
          <w:t>respuesta de la Junta</w:t>
        </w:r>
      </w:hyperlink>
      <w:r>
        <w:t xml:space="preserve"> al asesoramiento del GAC y del ALAC que brindaron la Declaración conjunta fue esencialmente que la organización de la ICANN ya está tomando, o está planeando tomar, todas las medidas propuestas por el GAC y el ALAC. Esto es debatible. Sin embargo, el seguimiento de este asunto no ha sido una prioridad para el GAC.</w:t>
      </w:r>
    </w:p>
    <w:p w14:paraId="1022350F" w14:textId="731AA2B9" w:rsidR="003E2BD3" w:rsidRPr="00CD7475" w:rsidRDefault="00AD3D44" w:rsidP="00CD7475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El ALAC puede desear las opiniones del GAC en la medida en que la </w:t>
      </w:r>
      <w:hyperlink r:id="rId10" w:history="1">
        <w:r>
          <w:rPr>
            <w:rStyle w:val="Hipervnculo"/>
            <w:rFonts w:ascii="Century Gothic" w:hAnsi="Century Gothic"/>
            <w:sz w:val="20"/>
            <w:szCs w:val="20"/>
          </w:rPr>
          <w:t>Iniciativa de Transparencia de la Información</w:t>
        </w:r>
      </w:hyperlink>
      <w:r>
        <w:rPr>
          <w:rFonts w:ascii="Century Gothic" w:hAnsi="Century Gothic"/>
          <w:sz w:val="20"/>
          <w:szCs w:val="20"/>
        </w:rPr>
        <w:t xml:space="preserve"> (ITI) de la ICANN sea un paso útil hacia los objetivos de la Declaración conjunta. La ITI </w:t>
      </w:r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se centra en mejorar el acceso a la información publicada de la ICANN y la capacidad de búsqueda de dicha información mediante la implementación del primer sistema de gestión de documentos (DMS) y la aplicación de gobernanza de contenido. La ITI comenzará con contenido en </w:t>
      </w:r>
      <w:hyperlink r:id="rId11" w:history="1">
        <w:r>
          <w:rPr>
            <w:rFonts w:ascii="Century Gothic" w:hAnsi="Century Gothic"/>
            <w:color w:val="954F72"/>
            <w:sz w:val="20"/>
            <w:szCs w:val="20"/>
            <w:u w:val="single"/>
          </w:rPr>
          <w:t>https://www.icann.org</w:t>
        </w:r>
      </w:hyperlink>
      <w:r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, la cual incluye más de 104.000 páginas web, informes, correspondencia, infografías, y archivos de audio y video. El proyecto se lanzó oficialmente en enero de 2018 y se espera que brinde mayor transparencia de la información y una función de búsqueda mejorada en diciembre de 2019.</w:t>
      </w:r>
    </w:p>
    <w:p w14:paraId="01813B31" w14:textId="54A9C61D" w:rsidR="006E4234" w:rsidRPr="00AD3D44" w:rsidRDefault="00843888" w:rsidP="00AD3D44">
      <w:pPr>
        <w:pStyle w:val="Textoindependiente"/>
        <w:ind w:right="545"/>
      </w:pPr>
      <w:r>
        <w:t>La ICANN brindó información al GAC sobre la ITI el 15 de mayo de 2018 mediante un seminario web.</w:t>
      </w:r>
    </w:p>
    <w:p w14:paraId="324ABC36" w14:textId="1B40FE42" w:rsidR="00C20FB7" w:rsidRPr="006E4234" w:rsidRDefault="006E4234" w:rsidP="00C20FB7">
      <w:pPr>
        <w:pStyle w:val="Textoindependiente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  <w:szCs w:val="20"/>
        </w:rPr>
        <w:t>WS2 del CCWG:</w:t>
      </w:r>
    </w:p>
    <w:p w14:paraId="2766ED44" w14:textId="386FF835" w:rsidR="006E4234" w:rsidRDefault="006E4234" w:rsidP="006E4234">
      <w:pPr>
        <w:pStyle w:val="Textoindependiente"/>
        <w:rPr>
          <w:szCs w:val="20"/>
        </w:rPr>
      </w:pPr>
      <w:r>
        <w:t>Véase el documento informativo para el GAC en el tema 25 del orden del día.</w:t>
      </w:r>
    </w:p>
    <w:p w14:paraId="6C8009A1" w14:textId="0B5A30DB" w:rsidR="00843888" w:rsidRDefault="00843888" w:rsidP="006E4234">
      <w:pPr>
        <w:pStyle w:val="Textoindependiente"/>
        <w:rPr>
          <w:szCs w:val="20"/>
        </w:rPr>
      </w:pPr>
      <w:r>
        <w:t>El GAC y el ALAC pueden desear compartir los últimos avances con respecto a sus respectivas posiciones como organizaciones estatutarias de este CCWG.</w:t>
      </w:r>
    </w:p>
    <w:p w14:paraId="1E110213" w14:textId="4BC2FAF8" w:rsidR="003E2BD3" w:rsidRDefault="003E2BD3" w:rsidP="006E4234">
      <w:pPr>
        <w:pStyle w:val="Textoindependiente"/>
        <w:rPr>
          <w:szCs w:val="20"/>
        </w:rPr>
      </w:pPr>
      <w:r>
        <w:t>El presidente del ALAC ha expresado preocupación acerca de que las recomendaciones tengan un impacto significativo en los recursos de la ICANN.</w:t>
      </w:r>
    </w:p>
    <w:p w14:paraId="1222DEA1" w14:textId="626DB1FD" w:rsidR="00C17774" w:rsidRPr="00C17774" w:rsidRDefault="00C17774" w:rsidP="00C17774">
      <w:pPr>
        <w:pStyle w:val="Textoindependiente"/>
        <w:numPr>
          <w:ilvl w:val="0"/>
          <w:numId w:val="26"/>
        </w:numPr>
        <w:rPr>
          <w:b/>
          <w:color w:val="2E74B5" w:themeColor="accent1" w:themeShade="BF"/>
          <w:szCs w:val="20"/>
        </w:rPr>
      </w:pPr>
      <w:r>
        <w:rPr>
          <w:b/>
          <w:color w:val="2E74B5" w:themeColor="accent1" w:themeShade="BF"/>
          <w:szCs w:val="20"/>
        </w:rPr>
        <w:t>Revisión independiente del ALAC</w:t>
      </w:r>
    </w:p>
    <w:p w14:paraId="25521A91" w14:textId="14EFF33C" w:rsidR="00C17774" w:rsidRDefault="00C17774" w:rsidP="00C17774">
      <w:pPr>
        <w:pStyle w:val="Textoindependiente"/>
        <w:rPr>
          <w:szCs w:val="20"/>
        </w:rPr>
      </w:pPr>
      <w:r>
        <w:t>Todas las organizaciones de apoyo y comités asesores, salvo el GAC, deben someterse a revisiones externas periódicas de sus disposiciones estructurales.</w:t>
      </w:r>
    </w:p>
    <w:p w14:paraId="5453042F" w14:textId="6A972967" w:rsidR="00C17774" w:rsidRDefault="00C17774" w:rsidP="00C17774">
      <w:pPr>
        <w:pStyle w:val="Textoindependiente"/>
        <w:rPr>
          <w:szCs w:val="20"/>
        </w:rPr>
      </w:pPr>
      <w:r>
        <w:t>La revisión más reciente del ALAC ha generado un poco de controversia en la comunidad de la ICANN, ya que el liderazgo del ALAC no acepta varias de las recomendaciones.</w:t>
      </w:r>
    </w:p>
    <w:p w14:paraId="5D5E93B3" w14:textId="400EDAE2" w:rsidR="00C17774" w:rsidRPr="006E4234" w:rsidRDefault="00C17774" w:rsidP="00C17774">
      <w:pPr>
        <w:pStyle w:val="Textoindependiente"/>
        <w:rPr>
          <w:szCs w:val="20"/>
        </w:rPr>
      </w:pPr>
      <w:r>
        <w:t>El ALAC puede brindar una actualización al respecto.</w:t>
      </w:r>
    </w:p>
    <w:p w14:paraId="7B676123" w14:textId="3C5C71A7" w:rsidR="00663B24" w:rsidRDefault="00663B24" w:rsidP="00C917F9">
      <w:pPr>
        <w:pStyle w:val="Ttulo2"/>
      </w:pPr>
      <w:r>
        <w:t>Posición actual</w:t>
      </w:r>
    </w:p>
    <w:p w14:paraId="0D714EBD" w14:textId="78AB4264" w:rsidR="00C17774" w:rsidRPr="00C917F9" w:rsidRDefault="00691DCB" w:rsidP="00C917F9">
      <w:pPr>
        <w:pStyle w:val="Textoindependiente"/>
      </w:pPr>
      <w:r>
        <w:t xml:space="preserve">El presidente actual del Consejo del ALAC es Alan </w:t>
      </w:r>
      <w:proofErr w:type="spellStart"/>
      <w:r>
        <w:t>Greenberg</w:t>
      </w:r>
      <w:proofErr w:type="spellEnd"/>
      <w:r>
        <w:t xml:space="preserve">. El Coordinador de enlace del ALAC con el GAC es el Sr. </w:t>
      </w:r>
      <w:proofErr w:type="spellStart"/>
      <w:r>
        <w:t>Yrjö</w:t>
      </w:r>
      <w:proofErr w:type="spellEnd"/>
      <w:r>
        <w:t xml:space="preserve"> </w:t>
      </w:r>
      <w:proofErr w:type="spellStart"/>
      <w:r>
        <w:t>Länsipuro</w:t>
      </w:r>
      <w:proofErr w:type="spellEnd"/>
      <w:r>
        <w:t>.</w:t>
      </w:r>
    </w:p>
    <w:p w14:paraId="04C07B0D" w14:textId="4C3CCD00" w:rsidR="00406CEE" w:rsidRDefault="00076811" w:rsidP="00C917F9">
      <w:pPr>
        <w:pStyle w:val="Ttulo2"/>
      </w:pPr>
      <w:r>
        <w:t>Información adicional</w:t>
      </w:r>
    </w:p>
    <w:p w14:paraId="5499DB39" w14:textId="49948A1B" w:rsidR="00076811" w:rsidRPr="00076811" w:rsidRDefault="00715427" w:rsidP="00AF4D4A">
      <w:pPr>
        <w:pStyle w:val="Textoindependiente"/>
        <w:ind w:right="544"/>
      </w:pPr>
      <w:hyperlink r:id="rId12" w:history="1">
        <w:r w:rsidR="00663B24">
          <w:rPr>
            <w:rStyle w:val="Hipervnculo"/>
          </w:rPr>
          <w:t>Sitio web</w:t>
        </w:r>
      </w:hyperlink>
      <w:r w:rsidR="00663B24">
        <w:t xml:space="preserve"> del ALAC.</w:t>
      </w:r>
    </w:p>
    <w:p w14:paraId="2D7BED41" w14:textId="77777777" w:rsidR="00076811" w:rsidRPr="003000B4" w:rsidRDefault="00076811" w:rsidP="00076811">
      <w:pPr>
        <w:rPr>
          <w:sz w:val="20"/>
          <w:szCs w:val="20"/>
        </w:rPr>
      </w:pPr>
    </w:p>
    <w:p w14:paraId="39C8F6DE" w14:textId="77777777" w:rsidR="00F21D6A" w:rsidRPr="00E016F8" w:rsidRDefault="00F21D6A" w:rsidP="008246F4">
      <w:pPr>
        <w:pStyle w:val="Textoindependiente"/>
        <w:ind w:right="545"/>
      </w:pPr>
    </w:p>
    <w:p w14:paraId="3641119A" w14:textId="77777777" w:rsidR="00700CF9" w:rsidRDefault="00700CF9" w:rsidP="008246F4">
      <w:pPr>
        <w:pStyle w:val="Textoindependiente"/>
        <w:ind w:right="545"/>
      </w:pPr>
    </w:p>
    <w:p w14:paraId="5CB4AB40" w14:textId="6E9B02B0" w:rsidR="00FF7774" w:rsidRDefault="00FF7774" w:rsidP="00C917F9">
      <w:pPr>
        <w:pStyle w:val="Ttulo2"/>
      </w:pPr>
    </w:p>
    <w:p w14:paraId="5188F5EF" w14:textId="046C5932" w:rsidR="00FF7774" w:rsidRDefault="00FF7774" w:rsidP="00C917F9">
      <w:pPr>
        <w:pStyle w:val="Ttulo2"/>
      </w:pPr>
      <w:r>
        <w:t>Administración de la documentación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F7774" w:rsidRPr="003F43E3" w14:paraId="3BCACF28" w14:textId="77777777" w:rsidTr="00C917F9">
        <w:trPr>
          <w:trHeight w:val="294"/>
        </w:trPr>
        <w:tc>
          <w:tcPr>
            <w:tcW w:w="3261" w:type="dxa"/>
            <w:vAlign w:val="center"/>
          </w:tcPr>
          <w:p w14:paraId="0E4FBAE1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</w:p>
        </w:tc>
        <w:tc>
          <w:tcPr>
            <w:tcW w:w="5811" w:type="dxa"/>
            <w:vAlign w:val="center"/>
          </w:tcPr>
          <w:p w14:paraId="23C0F02E" w14:textId="6ABDB291" w:rsidR="00FF7774" w:rsidRPr="00CD7475" w:rsidRDefault="00FF7774" w:rsidP="00D27E64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Reunión con el Comité Asesor At-Large (ALAC)</w:t>
            </w:r>
          </w:p>
        </w:tc>
      </w:tr>
      <w:tr w:rsidR="00FF7774" w:rsidRPr="003F43E3" w14:paraId="435A03B4" w14:textId="77777777" w:rsidTr="00D27E64">
        <w:tc>
          <w:tcPr>
            <w:tcW w:w="3261" w:type="dxa"/>
            <w:vAlign w:val="center"/>
          </w:tcPr>
          <w:p w14:paraId="0DE10AF2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Distribución</w:t>
            </w:r>
          </w:p>
        </w:tc>
        <w:tc>
          <w:tcPr>
            <w:tcW w:w="5811" w:type="dxa"/>
            <w:vAlign w:val="center"/>
          </w:tcPr>
          <w:p w14:paraId="0D6DAB87" w14:textId="77777777" w:rsidR="00FF7774" w:rsidRPr="00CD7475" w:rsidRDefault="00FF7774" w:rsidP="00D27E64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Miembros del GAC</w:t>
            </w:r>
          </w:p>
        </w:tc>
      </w:tr>
      <w:tr w:rsidR="00FF7774" w:rsidRPr="003F43E3" w14:paraId="32115CC9" w14:textId="77777777" w:rsidTr="00CD7475">
        <w:trPr>
          <w:trHeight w:val="77"/>
        </w:trPr>
        <w:tc>
          <w:tcPr>
            <w:tcW w:w="3261" w:type="dxa"/>
            <w:vAlign w:val="center"/>
          </w:tcPr>
          <w:p w14:paraId="6F4CE9ED" w14:textId="77777777" w:rsidR="00FF7774" w:rsidRPr="00CD7475" w:rsidRDefault="00FF7774" w:rsidP="00D27E64">
            <w:pPr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 de distribución</w:t>
            </w:r>
          </w:p>
        </w:tc>
        <w:tc>
          <w:tcPr>
            <w:tcW w:w="5811" w:type="dxa"/>
            <w:vAlign w:val="center"/>
          </w:tcPr>
          <w:p w14:paraId="74B72B9F" w14:textId="44270DF6" w:rsidR="00FF7774" w:rsidRPr="00CD7475" w:rsidRDefault="00CD7475" w:rsidP="00D27E64">
            <w:pPr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de junio de 2018</w:t>
            </w:r>
          </w:p>
        </w:tc>
      </w:tr>
    </w:tbl>
    <w:p w14:paraId="397E9B11" w14:textId="77777777" w:rsidR="00D57B30" w:rsidRPr="00D57B30" w:rsidRDefault="00D57B30" w:rsidP="008246F4">
      <w:pPr>
        <w:pStyle w:val="Textoindependiente"/>
        <w:ind w:right="545"/>
      </w:pPr>
    </w:p>
    <w:sectPr w:rsidR="00D57B30" w:rsidRPr="00D57B30" w:rsidSect="007A174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C0335" w14:textId="77777777" w:rsidR="00715427" w:rsidRDefault="00715427" w:rsidP="00A24449">
      <w:r>
        <w:separator/>
      </w:r>
    </w:p>
  </w:endnote>
  <w:endnote w:type="continuationSeparator" w:id="0">
    <w:p w14:paraId="2760E2D8" w14:textId="77777777" w:rsidR="00715427" w:rsidRDefault="00715427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EBCDB" w14:textId="77777777" w:rsidR="00CD540A" w:rsidRDefault="00CD540A" w:rsidP="002276FD">
    <w:pPr>
      <w:pStyle w:val="Piedepgina"/>
      <w:ind w:left="-567" w:right="261"/>
    </w:pPr>
  </w:p>
  <w:p w14:paraId="230FF035" w14:textId="3E3ACB9C" w:rsidR="00CD540A" w:rsidRPr="00B026C8" w:rsidRDefault="00CD540A" w:rsidP="00FF7774">
    <w:pPr>
      <w:pBdr>
        <w:top w:val="single" w:sz="18" w:space="1" w:color="1F497D"/>
      </w:pBdr>
      <w:spacing w:before="240"/>
      <w:ind w:right="545"/>
      <w:rPr>
        <w:color w:val="00408E"/>
      </w:rPr>
    </w:pPr>
    <w:r>
      <w:rPr>
        <w:color w:val="00408E"/>
        <w:sz w:val="16"/>
        <w:szCs w:val="16"/>
      </w:rPr>
      <w:t xml:space="preserve">   </w:t>
    </w:r>
    <w:r>
      <w:rPr>
        <w:color w:val="00408E"/>
        <w:sz w:val="16"/>
        <w:szCs w:val="16"/>
      </w:rPr>
      <w:tab/>
      <w:t xml:space="preserve">                                                                                                                             </w:t>
    </w:r>
    <w:r>
      <w:rPr>
        <w:color w:val="00408E"/>
        <w:sz w:val="16"/>
        <w:szCs w:val="16"/>
      </w:rPr>
      <w:tab/>
    </w:r>
    <w:r>
      <w:rPr>
        <w:color w:val="00408E"/>
        <w:sz w:val="16"/>
        <w:szCs w:val="16"/>
      </w:rPr>
      <w:tab/>
    </w:r>
    <w:r>
      <w:rPr>
        <w:color w:val="00408E"/>
        <w:sz w:val="16"/>
        <w:szCs w:val="16"/>
      </w:rPr>
      <w:tab/>
      <w:t xml:space="preserve">      Página </w:t>
    </w:r>
    <w:r w:rsidRPr="00B026C8">
      <w:rPr>
        <w:color w:val="00408E"/>
        <w:sz w:val="16"/>
        <w:szCs w:val="16"/>
      </w:rPr>
      <w:fldChar w:fldCharType="begin"/>
    </w:r>
    <w:r w:rsidRPr="00B026C8">
      <w:rPr>
        <w:color w:val="00408E"/>
        <w:sz w:val="16"/>
        <w:szCs w:val="16"/>
      </w:rPr>
      <w:instrText xml:space="preserve"> PAGE </w:instrText>
    </w:r>
    <w:r w:rsidRPr="00B026C8">
      <w:rPr>
        <w:color w:val="00408E"/>
        <w:sz w:val="16"/>
        <w:szCs w:val="16"/>
      </w:rPr>
      <w:fldChar w:fldCharType="separate"/>
    </w:r>
    <w:r w:rsidR="00070DCC">
      <w:rPr>
        <w:noProof/>
        <w:color w:val="00408E"/>
        <w:sz w:val="16"/>
        <w:szCs w:val="16"/>
      </w:rPr>
      <w:t>3</w:t>
    </w:r>
    <w:r w:rsidRPr="00B026C8">
      <w:rPr>
        <w:color w:val="00408E"/>
        <w:sz w:val="16"/>
        <w:szCs w:val="16"/>
      </w:rPr>
      <w:fldChar w:fldCharType="end"/>
    </w:r>
    <w:r>
      <w:rPr>
        <w:color w:val="00408E"/>
        <w:sz w:val="16"/>
        <w:szCs w:val="16"/>
      </w:rPr>
      <w:t xml:space="preserve"> de </w:t>
    </w:r>
    <w:r w:rsidRPr="00B026C8">
      <w:rPr>
        <w:color w:val="00408E"/>
        <w:sz w:val="16"/>
        <w:szCs w:val="16"/>
      </w:rPr>
      <w:fldChar w:fldCharType="begin"/>
    </w:r>
    <w:r w:rsidRPr="00B026C8">
      <w:rPr>
        <w:color w:val="00408E"/>
        <w:sz w:val="16"/>
        <w:szCs w:val="16"/>
      </w:rPr>
      <w:instrText xml:space="preserve"> NUMPAGES  </w:instrText>
    </w:r>
    <w:r w:rsidRPr="00B026C8">
      <w:rPr>
        <w:color w:val="00408E"/>
        <w:sz w:val="16"/>
        <w:szCs w:val="16"/>
      </w:rPr>
      <w:fldChar w:fldCharType="separate"/>
    </w:r>
    <w:r w:rsidR="00070DCC">
      <w:rPr>
        <w:noProof/>
        <w:color w:val="00408E"/>
        <w:sz w:val="16"/>
        <w:szCs w:val="16"/>
      </w:rPr>
      <w:t>3</w:t>
    </w:r>
    <w:r w:rsidRPr="00B026C8">
      <w:rPr>
        <w:color w:val="00408E"/>
        <w:sz w:val="16"/>
        <w:szCs w:val="16"/>
      </w:rPr>
      <w:fldChar w:fldCharType="end"/>
    </w:r>
  </w:p>
  <w:p w14:paraId="357EE225" w14:textId="77777777" w:rsidR="00CD540A" w:rsidRPr="000C0FD7" w:rsidRDefault="00CD540A" w:rsidP="003D7A8D">
    <w:pPr>
      <w:pStyle w:val="Piedepgina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DCF7D" w14:textId="77777777" w:rsidR="00CD540A" w:rsidRPr="00C2562C" w:rsidRDefault="00CD540A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399DE240" w14:textId="77777777" w:rsidR="00CD540A" w:rsidRPr="00070DCC" w:rsidRDefault="00CD540A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070DCC">
      <w:rPr>
        <w:sz w:val="16"/>
        <w:szCs w:val="16"/>
        <w:lang w:val="en-US"/>
      </w:rPr>
      <w:t xml:space="preserve">203 Drummond Street, Carlton VIC 3053 </w:t>
    </w:r>
  </w:p>
  <w:p w14:paraId="78FD8431" w14:textId="77777777" w:rsidR="00CD540A" w:rsidRPr="00070DCC" w:rsidRDefault="00CD540A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070DCC">
      <w:rPr>
        <w:sz w:val="16"/>
        <w:szCs w:val="16"/>
        <w:lang w:val="en-US"/>
      </w:rPr>
      <w:t>03 9650 7222</w:t>
    </w:r>
  </w:p>
  <w:p w14:paraId="30C54EED" w14:textId="77777777" w:rsidR="00CD540A" w:rsidRPr="00070DCC" w:rsidRDefault="00CD540A" w:rsidP="00740F60">
    <w:pPr>
      <w:pStyle w:val="Sinespaciado"/>
      <w:ind w:right="544"/>
      <w:jc w:val="right"/>
      <w:rPr>
        <w:sz w:val="16"/>
        <w:szCs w:val="16"/>
        <w:lang w:val="en-US"/>
      </w:rPr>
    </w:pPr>
    <w:r w:rsidRPr="00070DCC">
      <w:rPr>
        <w:sz w:val="16"/>
        <w:szCs w:val="16"/>
        <w:lang w:val="en-US"/>
      </w:rPr>
      <w:t xml:space="preserve">www.acig.com.au </w:t>
    </w:r>
  </w:p>
  <w:p w14:paraId="1C71AF25" w14:textId="77777777" w:rsidR="00CD540A" w:rsidRPr="00070DCC" w:rsidRDefault="00CD540A" w:rsidP="003D7A8D">
    <w:pPr>
      <w:pStyle w:val="Piedepgina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E10F3" w14:textId="77777777" w:rsidR="00715427" w:rsidRDefault="00715427" w:rsidP="00A24449">
      <w:r>
        <w:separator/>
      </w:r>
    </w:p>
  </w:footnote>
  <w:footnote w:type="continuationSeparator" w:id="0">
    <w:p w14:paraId="41619CD9" w14:textId="77777777" w:rsidR="00715427" w:rsidRDefault="00715427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BABE2" w14:textId="7F65BD70" w:rsidR="00CD540A" w:rsidRDefault="00070DCC" w:rsidP="002276FD">
    <w:pPr>
      <w:pStyle w:val="Encabezado"/>
      <w:tabs>
        <w:tab w:val="clear" w:pos="4680"/>
        <w:tab w:val="clear" w:pos="9360"/>
      </w:tabs>
      <w:ind w:left="7920" w:right="-306" w:firstLine="444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531041" wp14:editId="6E50150E">
              <wp:simplePos x="0" y="0"/>
              <wp:positionH relativeFrom="column">
                <wp:posOffset>4206240</wp:posOffset>
              </wp:positionH>
              <wp:positionV relativeFrom="paragraph">
                <wp:posOffset>217225</wp:posOffset>
              </wp:positionV>
              <wp:extent cx="1666323" cy="297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323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769CE" w14:textId="77777777" w:rsidR="00CD540A" w:rsidRPr="00A12C22" w:rsidRDefault="00CD540A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  <w:t>Secretaría del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1.2pt;margin-top:17.1pt;width:131.2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Bc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" stroked="f">
              <v:textbox>
                <w:txbxContent>
                  <w:p w14:paraId="437769CE" w14:textId="77777777" w:rsidR="00CD540A" w:rsidRPr="00A12C22" w:rsidRDefault="00CD540A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  <w:t>Secretaría del GAC</w:t>
                    </w:r>
                  </w:p>
                </w:txbxContent>
              </v:textbox>
            </v:shape>
          </w:pict>
        </mc:Fallback>
      </mc:AlternateContent>
    </w:r>
    <w:r w:rsidR="00CD540A">
      <w:rPr>
        <w:noProof/>
        <w:lang w:val="es-AR" w:eastAsia="es-AR"/>
      </w:rPr>
      <w:drawing>
        <wp:inline distT="0" distB="0" distL="0" distR="0" wp14:anchorId="74B5324F" wp14:editId="7D2160BA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540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8AD20" w14:textId="77777777" w:rsidR="00CD540A" w:rsidRDefault="00CD540A" w:rsidP="00C2562C">
    <w:pPr>
      <w:pStyle w:val="Encabezado"/>
      <w:tabs>
        <w:tab w:val="clear" w:pos="9360"/>
      </w:tabs>
      <w:ind w:left="-851"/>
      <w:jc w:val="center"/>
    </w:pPr>
    <w:r>
      <w:rPr>
        <w:noProof/>
        <w:lang w:val="es-AR" w:eastAsia="es-AR"/>
      </w:rPr>
      <w:drawing>
        <wp:inline distT="0" distB="0" distL="0" distR="0" wp14:anchorId="58262EE7" wp14:editId="4BE24B81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B4F4E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28C48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82D0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648BA"/>
    <w:multiLevelType w:val="hybridMultilevel"/>
    <w:tmpl w:val="2E9C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13F57"/>
    <w:multiLevelType w:val="hybridMultilevel"/>
    <w:tmpl w:val="543A8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3F85"/>
    <w:multiLevelType w:val="hybridMultilevel"/>
    <w:tmpl w:val="1578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086682"/>
    <w:multiLevelType w:val="hybridMultilevel"/>
    <w:tmpl w:val="5948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40349"/>
    <w:multiLevelType w:val="hybridMultilevel"/>
    <w:tmpl w:val="7EC49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0E6298"/>
    <w:multiLevelType w:val="hybridMultilevel"/>
    <w:tmpl w:val="7520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F7599"/>
    <w:multiLevelType w:val="hybridMultilevel"/>
    <w:tmpl w:val="7F009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EC1ED1"/>
    <w:multiLevelType w:val="hybridMultilevel"/>
    <w:tmpl w:val="F19C9E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444E59"/>
    <w:multiLevelType w:val="hybridMultilevel"/>
    <w:tmpl w:val="D0A04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3D03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B6D90"/>
    <w:multiLevelType w:val="hybridMultilevel"/>
    <w:tmpl w:val="56E63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392D8F"/>
    <w:multiLevelType w:val="hybridMultilevel"/>
    <w:tmpl w:val="E3942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74613D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F5318"/>
    <w:multiLevelType w:val="hybridMultilevel"/>
    <w:tmpl w:val="A88A34A0"/>
    <w:lvl w:ilvl="0" w:tplc="66068FF0">
      <w:start w:val="1"/>
      <w:numFmt w:val="bullet"/>
      <w:pStyle w:val="Listaconvietas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>
    <w:nsid w:val="674624A6"/>
    <w:multiLevelType w:val="hybridMultilevel"/>
    <w:tmpl w:val="6D7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A7E4A"/>
    <w:multiLevelType w:val="hybridMultilevel"/>
    <w:tmpl w:val="73305E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23"/>
  </w:num>
  <w:num w:numId="20">
    <w:abstractNumId w:val="11"/>
  </w:num>
  <w:num w:numId="21">
    <w:abstractNumId w:val="20"/>
  </w:num>
  <w:num w:numId="22">
    <w:abstractNumId w:val="26"/>
  </w:num>
  <w:num w:numId="23">
    <w:abstractNumId w:val="10"/>
  </w:num>
  <w:num w:numId="24">
    <w:abstractNumId w:val="13"/>
  </w:num>
  <w:num w:numId="25">
    <w:abstractNumId w:val="27"/>
  </w:num>
  <w:num w:numId="26">
    <w:abstractNumId w:val="18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B6"/>
    <w:rsid w:val="00017DDB"/>
    <w:rsid w:val="00020EA8"/>
    <w:rsid w:val="00023512"/>
    <w:rsid w:val="0002714F"/>
    <w:rsid w:val="000328A2"/>
    <w:rsid w:val="00032B7E"/>
    <w:rsid w:val="00070DCC"/>
    <w:rsid w:val="00076811"/>
    <w:rsid w:val="00083BC8"/>
    <w:rsid w:val="000964B7"/>
    <w:rsid w:val="000B4BF2"/>
    <w:rsid w:val="000C0FD7"/>
    <w:rsid w:val="000C5167"/>
    <w:rsid w:val="000C6B2E"/>
    <w:rsid w:val="000D71C9"/>
    <w:rsid w:val="00103E59"/>
    <w:rsid w:val="00137E92"/>
    <w:rsid w:val="001577F4"/>
    <w:rsid w:val="0016195D"/>
    <w:rsid w:val="00181EFF"/>
    <w:rsid w:val="001B337F"/>
    <w:rsid w:val="001D57EC"/>
    <w:rsid w:val="002110FA"/>
    <w:rsid w:val="002276FD"/>
    <w:rsid w:val="00250279"/>
    <w:rsid w:val="00252E14"/>
    <w:rsid w:val="00273354"/>
    <w:rsid w:val="002C0BDE"/>
    <w:rsid w:val="00327A1A"/>
    <w:rsid w:val="003308BB"/>
    <w:rsid w:val="003401B4"/>
    <w:rsid w:val="00354F4B"/>
    <w:rsid w:val="003643C4"/>
    <w:rsid w:val="003644DC"/>
    <w:rsid w:val="00364F2E"/>
    <w:rsid w:val="003961C1"/>
    <w:rsid w:val="003D3781"/>
    <w:rsid w:val="003D7A8D"/>
    <w:rsid w:val="003E134F"/>
    <w:rsid w:val="003E2BD3"/>
    <w:rsid w:val="003E540D"/>
    <w:rsid w:val="00400344"/>
    <w:rsid w:val="00406CEE"/>
    <w:rsid w:val="00412A64"/>
    <w:rsid w:val="00416093"/>
    <w:rsid w:val="004256A5"/>
    <w:rsid w:val="0043171A"/>
    <w:rsid w:val="00454CBD"/>
    <w:rsid w:val="0046742D"/>
    <w:rsid w:val="00482610"/>
    <w:rsid w:val="004837E2"/>
    <w:rsid w:val="00492E56"/>
    <w:rsid w:val="004A58B8"/>
    <w:rsid w:val="004D7546"/>
    <w:rsid w:val="004E22C7"/>
    <w:rsid w:val="004E2498"/>
    <w:rsid w:val="0051347B"/>
    <w:rsid w:val="00515091"/>
    <w:rsid w:val="00577F86"/>
    <w:rsid w:val="00580A87"/>
    <w:rsid w:val="005E2917"/>
    <w:rsid w:val="0061311D"/>
    <w:rsid w:val="00624AEC"/>
    <w:rsid w:val="00652018"/>
    <w:rsid w:val="006632C8"/>
    <w:rsid w:val="00663B24"/>
    <w:rsid w:val="006735F6"/>
    <w:rsid w:val="0067792E"/>
    <w:rsid w:val="00683C6C"/>
    <w:rsid w:val="006850D5"/>
    <w:rsid w:val="00691DCB"/>
    <w:rsid w:val="006E3E83"/>
    <w:rsid w:val="006E4234"/>
    <w:rsid w:val="00700CF9"/>
    <w:rsid w:val="00715427"/>
    <w:rsid w:val="00722431"/>
    <w:rsid w:val="0072423D"/>
    <w:rsid w:val="00731C3E"/>
    <w:rsid w:val="00734DE5"/>
    <w:rsid w:val="00740F60"/>
    <w:rsid w:val="007670C2"/>
    <w:rsid w:val="00767678"/>
    <w:rsid w:val="007A174E"/>
    <w:rsid w:val="007A2C1A"/>
    <w:rsid w:val="007C1887"/>
    <w:rsid w:val="007C384A"/>
    <w:rsid w:val="007C4AA0"/>
    <w:rsid w:val="007D32B7"/>
    <w:rsid w:val="007E309B"/>
    <w:rsid w:val="007F31B6"/>
    <w:rsid w:val="0080292E"/>
    <w:rsid w:val="00815A76"/>
    <w:rsid w:val="00817EAC"/>
    <w:rsid w:val="00821E40"/>
    <w:rsid w:val="008246F4"/>
    <w:rsid w:val="00827F77"/>
    <w:rsid w:val="00843888"/>
    <w:rsid w:val="00854588"/>
    <w:rsid w:val="008822A3"/>
    <w:rsid w:val="00882354"/>
    <w:rsid w:val="008B2849"/>
    <w:rsid w:val="008C4F95"/>
    <w:rsid w:val="008F3B68"/>
    <w:rsid w:val="008F73CE"/>
    <w:rsid w:val="009123B6"/>
    <w:rsid w:val="00972EBA"/>
    <w:rsid w:val="00981222"/>
    <w:rsid w:val="00984323"/>
    <w:rsid w:val="0099631A"/>
    <w:rsid w:val="009B375D"/>
    <w:rsid w:val="009C77A8"/>
    <w:rsid w:val="00A01D51"/>
    <w:rsid w:val="00A07882"/>
    <w:rsid w:val="00A12C22"/>
    <w:rsid w:val="00A13403"/>
    <w:rsid w:val="00A24449"/>
    <w:rsid w:val="00A40DB0"/>
    <w:rsid w:val="00A660EB"/>
    <w:rsid w:val="00A86B36"/>
    <w:rsid w:val="00AA0126"/>
    <w:rsid w:val="00AA7319"/>
    <w:rsid w:val="00AC5490"/>
    <w:rsid w:val="00AC54BB"/>
    <w:rsid w:val="00AD1076"/>
    <w:rsid w:val="00AD3D44"/>
    <w:rsid w:val="00AE263F"/>
    <w:rsid w:val="00AF4D4A"/>
    <w:rsid w:val="00B026C8"/>
    <w:rsid w:val="00B21330"/>
    <w:rsid w:val="00B22FE8"/>
    <w:rsid w:val="00B250D5"/>
    <w:rsid w:val="00B72D49"/>
    <w:rsid w:val="00BA0533"/>
    <w:rsid w:val="00BA5EF0"/>
    <w:rsid w:val="00C114D4"/>
    <w:rsid w:val="00C1188D"/>
    <w:rsid w:val="00C144AE"/>
    <w:rsid w:val="00C17774"/>
    <w:rsid w:val="00C20FB7"/>
    <w:rsid w:val="00C21952"/>
    <w:rsid w:val="00C2562C"/>
    <w:rsid w:val="00C26F6D"/>
    <w:rsid w:val="00C3454E"/>
    <w:rsid w:val="00C50C2C"/>
    <w:rsid w:val="00C70CD9"/>
    <w:rsid w:val="00C908F7"/>
    <w:rsid w:val="00C917F9"/>
    <w:rsid w:val="00C9701E"/>
    <w:rsid w:val="00CB3C6C"/>
    <w:rsid w:val="00CB7A48"/>
    <w:rsid w:val="00CD30A8"/>
    <w:rsid w:val="00CD540A"/>
    <w:rsid w:val="00CD57F8"/>
    <w:rsid w:val="00CD7113"/>
    <w:rsid w:val="00CD7475"/>
    <w:rsid w:val="00CF0606"/>
    <w:rsid w:val="00CF25E7"/>
    <w:rsid w:val="00CF4236"/>
    <w:rsid w:val="00CF4E9A"/>
    <w:rsid w:val="00D01CBD"/>
    <w:rsid w:val="00D049CB"/>
    <w:rsid w:val="00D07C27"/>
    <w:rsid w:val="00D20477"/>
    <w:rsid w:val="00D41280"/>
    <w:rsid w:val="00D5733E"/>
    <w:rsid w:val="00D57B30"/>
    <w:rsid w:val="00D86EA8"/>
    <w:rsid w:val="00D9442D"/>
    <w:rsid w:val="00DA436F"/>
    <w:rsid w:val="00DA46B6"/>
    <w:rsid w:val="00DE2827"/>
    <w:rsid w:val="00DE621B"/>
    <w:rsid w:val="00DF23A2"/>
    <w:rsid w:val="00DF5B00"/>
    <w:rsid w:val="00E016F8"/>
    <w:rsid w:val="00E3060B"/>
    <w:rsid w:val="00E57BDD"/>
    <w:rsid w:val="00E7196B"/>
    <w:rsid w:val="00E9134A"/>
    <w:rsid w:val="00EA3A02"/>
    <w:rsid w:val="00EB1CAA"/>
    <w:rsid w:val="00ED40DF"/>
    <w:rsid w:val="00EF5A3C"/>
    <w:rsid w:val="00F05CC8"/>
    <w:rsid w:val="00F21D6A"/>
    <w:rsid w:val="00F2275F"/>
    <w:rsid w:val="00F4462E"/>
    <w:rsid w:val="00F46F4F"/>
    <w:rsid w:val="00F65E75"/>
    <w:rsid w:val="00F72FA0"/>
    <w:rsid w:val="00F96D2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C8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3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C917F9"/>
    <w:pPr>
      <w:keepNext/>
      <w:keepLines/>
      <w:ind w:right="544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17F9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eastAsiaTheme="minorEastAsia" w:hAnsi="Century Gothic" w:cstheme="minorBidi"/>
      <w:b/>
      <w:bCs/>
      <w:sz w:val="28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 w:cstheme="minorBidi"/>
      <w:sz w:val="2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1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eastAsiaTheme="minorEastAsia" w:hAnsi="Century Gothic" w:cstheme="minorBidi"/>
      <w:sz w:val="18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  <w:rPr>
      <w:rFonts w:ascii="Century Gothic" w:eastAsiaTheme="minorEastAsia" w:hAnsi="Century Gothic" w:cstheme="minorBid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F5A3C"/>
  </w:style>
  <w:style w:type="character" w:styleId="Textoennegrita">
    <w:name w:val="Strong"/>
    <w:basedOn w:val="Fuentedeprrafopredeter"/>
    <w:uiPriority w:val="22"/>
    <w:qFormat/>
    <w:rsid w:val="00EF5A3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F5A3C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7678"/>
    <w:rPr>
      <w:rFonts w:ascii="Courier" w:hAnsi="Courier" w:cs="Courier"/>
      <w:lang w:eastAsia="en-US"/>
    </w:rPr>
  </w:style>
  <w:style w:type="character" w:customStyle="1" w:styleId="UnresolvedMention">
    <w:name w:val="Unresolved Mention"/>
    <w:basedOn w:val="Fuentedeprrafopredeter"/>
    <w:uiPriority w:val="99"/>
    <w:rsid w:val="00F2275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es-MX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3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next w:val="Textoindependiente"/>
    <w:link w:val="Ttulo1C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Ttulo2">
    <w:name w:val="heading 2"/>
    <w:basedOn w:val="Textoindependiente"/>
    <w:next w:val="Textoindependiente"/>
    <w:link w:val="Ttulo2Car"/>
    <w:autoRedefine/>
    <w:uiPriority w:val="9"/>
    <w:unhideWhenUsed/>
    <w:qFormat/>
    <w:rsid w:val="00C917F9"/>
    <w:pPr>
      <w:keepNext/>
      <w:keepLines/>
      <w:ind w:right="544"/>
      <w:outlineLvl w:val="1"/>
    </w:pPr>
    <w:rPr>
      <w:b/>
      <w:color w:val="1F4E79" w:themeColor="accent1" w:themeShade="80"/>
      <w:sz w:val="24"/>
      <w:szCs w:val="24"/>
    </w:rPr>
  </w:style>
  <w:style w:type="paragraph" w:styleId="Ttulo3">
    <w:name w:val="heading 3"/>
    <w:basedOn w:val="Textoindependiente"/>
    <w:next w:val="Textoindependiente"/>
    <w:link w:val="Ttulo3C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Ttulo4">
    <w:name w:val="heading 4"/>
    <w:basedOn w:val="Textoindependiente"/>
    <w:next w:val="Textoindependiente"/>
    <w:link w:val="Ttulo4C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917F9"/>
    <w:rPr>
      <w:b/>
      <w:color w:val="1F4E79" w:themeColor="accent1" w:themeShade="80"/>
      <w:sz w:val="24"/>
      <w:szCs w:val="24"/>
      <w:lang w:eastAsia="en-US"/>
    </w:rPr>
  </w:style>
  <w:style w:type="paragraph" w:styleId="TD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eastAsiaTheme="minorEastAsia" w:hAnsi="Century Gothic" w:cstheme="minorBidi"/>
      <w:b/>
      <w:bCs/>
      <w:sz w:val="28"/>
    </w:rPr>
  </w:style>
  <w:style w:type="paragraph" w:styleId="Encabezado">
    <w:name w:val="header"/>
    <w:basedOn w:val="Textoindependiente"/>
    <w:link w:val="EncabezadoC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076"/>
    <w:rPr>
      <w:rFonts w:ascii="Century Gothic" w:hAnsi="Century Gothic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 w:cstheme="minorBidi"/>
      <w:sz w:val="2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449"/>
    <w:rPr>
      <w:rFonts w:ascii="Century Gothic" w:hAnsi="Century Gothic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F4E9A"/>
    <w:rPr>
      <w:b/>
      <w:color w:val="00408E"/>
      <w:sz w:val="28"/>
      <w:szCs w:val="28"/>
      <w:lang w:val="es-MX" w:eastAsia="en-US" w:bidi="ar-SA"/>
    </w:rPr>
  </w:style>
  <w:style w:type="paragraph" w:styleId="Ttulo">
    <w:name w:val="Title"/>
    <w:basedOn w:val="Textoindependiente"/>
    <w:next w:val="Textoindependiente"/>
    <w:link w:val="TtuloC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Textoindependiente">
    <w:name w:val="Body Text"/>
    <w:link w:val="TextoindependienteCar"/>
    <w:uiPriority w:val="1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2C7"/>
    <w:rPr>
      <w:szCs w:val="22"/>
      <w:lang w:val="es-MX"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s-MX"/>
    </w:rPr>
  </w:style>
  <w:style w:type="character" w:styleId="Hipervnculo">
    <w:name w:val="Hyperlink"/>
    <w:basedOn w:val="Fuentedeprrafopredeter"/>
    <w:uiPriority w:val="99"/>
    <w:unhideWhenUsed/>
    <w:rsid w:val="0072423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F4E9A"/>
    <w:rPr>
      <w:b/>
      <w:color w:val="00408E"/>
      <w:szCs w:val="22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4E22C7"/>
    <w:rPr>
      <w:color w:val="00408E"/>
      <w:szCs w:val="22"/>
      <w:lang w:val="es-MX"/>
    </w:rPr>
  </w:style>
  <w:style w:type="paragraph" w:styleId="Listaconvietas">
    <w:name w:val="List Bullet"/>
    <w:basedOn w:val="Listaconvietas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aconvietas2">
    <w:name w:val="List Bullet 2"/>
    <w:basedOn w:val="Listaconvietas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Continuarlista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Listaconvietas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Prrafodelista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 w:cstheme="minorBidi"/>
      <w:sz w:val="20"/>
      <w:szCs w:val="22"/>
    </w:rPr>
  </w:style>
  <w:style w:type="paragraph" w:styleId="Encabezadodelista">
    <w:name w:val="toa heading"/>
    <w:basedOn w:val="Ttulo1"/>
    <w:next w:val="Normal"/>
    <w:uiPriority w:val="99"/>
    <w:unhideWhenUsed/>
    <w:rsid w:val="000C5167"/>
    <w:pPr>
      <w:spacing w:after="400"/>
    </w:pPr>
  </w:style>
  <w:style w:type="table" w:styleId="Tablaconcuadrcula">
    <w:name w:val="Table Grid"/>
    <w:basedOn w:val="Tabla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a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3">
    <w:name w:val="Light Shading Accent 3"/>
    <w:basedOn w:val="Tabla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5">
    <w:name w:val="Light Shading Accent 5"/>
    <w:basedOn w:val="Tabla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a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eastAsiaTheme="minorEastAsia" w:hAnsi="Century Gothic" w:cstheme="minorBidi"/>
      <w:sz w:val="18"/>
    </w:rPr>
  </w:style>
  <w:style w:type="paragraph" w:styleId="Sinespaciado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06CEE"/>
    <w:rPr>
      <w:rFonts w:ascii="Century Gothic" w:eastAsiaTheme="minorEastAsia" w:hAnsi="Century Gothic" w:cstheme="minorBidi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406C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F5A3C"/>
  </w:style>
  <w:style w:type="character" w:styleId="Textoennegrita">
    <w:name w:val="Strong"/>
    <w:basedOn w:val="Fuentedeprrafopredeter"/>
    <w:uiPriority w:val="22"/>
    <w:qFormat/>
    <w:rsid w:val="00EF5A3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F5A3C"/>
    <w:rPr>
      <w:color w:val="954F72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7678"/>
    <w:rPr>
      <w:rFonts w:ascii="Courier" w:hAnsi="Courier" w:cs="Courier"/>
      <w:lang w:eastAsia="en-US"/>
    </w:rPr>
  </w:style>
  <w:style w:type="character" w:customStyle="1" w:styleId="UnresolvedMention">
    <w:name w:val="Unresolved Mention"/>
    <w:basedOn w:val="Fuentedeprrafopredeter"/>
    <w:uiPriority w:val="99"/>
    <w:rsid w:val="00F227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tlarge.icann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ann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icann.org/news/blog/the-information-transparency-initiative-iti-feedback-site-is-now-l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cann.org/en/system/files/files/resolutions-abudhabi60-gac-advice-scorecard-04feb18-en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48CA2-5E95-4EF4-B637-EE24EF04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4734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Usuario</cp:lastModifiedBy>
  <cp:revision>7</cp:revision>
  <cp:lastPrinted>2013-11-27T05:14:00Z</cp:lastPrinted>
  <dcterms:created xsi:type="dcterms:W3CDTF">2018-05-29T05:31:00Z</dcterms:created>
  <dcterms:modified xsi:type="dcterms:W3CDTF">2018-06-19T20:52:00Z</dcterms:modified>
</cp:coreProperties>
</file>